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C9" w:rsidRDefault="00D645C9" w:rsidP="00D645C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 NA USŁUGĘ UBEZPIECZENIA REGIONAL</w:t>
      </w:r>
      <w:r w:rsidR="000B7821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YCH CENTRÓW KRWIODAWSTWA </w:t>
      </w:r>
      <w:r w:rsidR="000B782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I KRWIOLECZNICTWA </w:t>
      </w:r>
    </w:p>
    <w:p w:rsidR="00E47E25" w:rsidRPr="00320EA1" w:rsidRDefault="00F504A2" w:rsidP="00320EA1">
      <w:pPr>
        <w:jc w:val="center"/>
        <w:rPr>
          <w:b/>
          <w:sz w:val="32"/>
          <w:szCs w:val="32"/>
        </w:rPr>
      </w:pPr>
      <w:r w:rsidRPr="00320EA1">
        <w:rPr>
          <w:b/>
          <w:sz w:val="32"/>
          <w:szCs w:val="32"/>
        </w:rPr>
        <w:t>SIWZ NR 18/P/2019</w:t>
      </w:r>
    </w:p>
    <w:p w:rsidR="00D645C9" w:rsidRPr="00320EA1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320EA1">
        <w:rPr>
          <w:b/>
          <w:bCs/>
          <w:sz w:val="28"/>
          <w:szCs w:val="28"/>
        </w:rPr>
        <w:t xml:space="preserve">PAKIET </w:t>
      </w:r>
      <w:r w:rsidR="000B7821">
        <w:rPr>
          <w:b/>
          <w:bCs/>
          <w:sz w:val="28"/>
          <w:szCs w:val="28"/>
        </w:rPr>
        <w:t>III</w:t>
      </w:r>
    </w:p>
    <w:p w:rsidR="00D645C9" w:rsidRDefault="00D645C9" w:rsidP="00D645C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B43DCC" w:rsidRDefault="00B43DCC" w:rsidP="00B43DCC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D645C9" w:rsidRDefault="00D645C9" w:rsidP="00D645C9">
      <w:pPr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</w:pPr>
      <w:r>
        <w:t xml:space="preserve">Cena ostateczna oferty </w:t>
      </w:r>
      <w:r w:rsidR="003471D4">
        <w:t xml:space="preserve">(cyfrowo i słownie ) </w:t>
      </w:r>
      <w:bookmarkStart w:id="0" w:name="_GoBack"/>
      <w:bookmarkEnd w:id="0"/>
      <w:r>
        <w:t>w całym okresie ubezpieczenia ….........................................................................................................................................</w:t>
      </w:r>
    </w:p>
    <w:p w:rsidR="00D645C9" w:rsidRDefault="00D645C9" w:rsidP="00D645C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04"/>
        <w:gridCol w:w="1912"/>
        <w:gridCol w:w="1856"/>
        <w:gridCol w:w="1525"/>
      </w:tblGrid>
      <w:tr w:rsidR="00D645C9" w:rsidTr="00D645C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Wysokość składki w pierwszym okresie polisowania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Wysokość składki w drugim okresie polisowania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0A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47E25">
              <w:rPr>
                <w:b/>
                <w:bCs/>
                <w:sz w:val="22"/>
                <w:szCs w:val="22"/>
              </w:rPr>
              <w:t>Wysokość składki w trzecim</w:t>
            </w:r>
          </w:p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47E25">
              <w:rPr>
                <w:b/>
                <w:bCs/>
                <w:sz w:val="22"/>
                <w:szCs w:val="22"/>
              </w:rPr>
              <w:t>okresie polisowania</w:t>
            </w:r>
          </w:p>
        </w:tc>
      </w:tr>
      <w:tr w:rsidR="00D645C9" w:rsidTr="00D645C9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  <w:ind w:left="60"/>
            </w:pPr>
            <w:r w:rsidRPr="00E47E25">
              <w:t>Obowiązkowe ubezpieczenie odpowiedzialności cywilnej posiadaczy pojazdów mechanicznych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Autocasco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Assistance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E24599" w:rsidTr="00696A57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0B7821" w:rsidP="00B419EC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</w:pPr>
            <w:r w:rsidRPr="00E47E25">
              <w:t>Zielona Karta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  <w:jc w:val="center"/>
            </w:pPr>
            <w:r>
              <w:t>Bezskładkowo</w:t>
            </w:r>
          </w:p>
        </w:tc>
      </w:tr>
      <w:tr w:rsidR="00D645C9" w:rsidTr="004D3F1B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D645C9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 w:rsidRPr="00E47E25">
              <w:rPr>
                <w:b/>
                <w:bCs/>
              </w:rPr>
              <w:t>RAZEM (za dany okres polisowy)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645C9" w:rsidTr="00C449C9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D645C9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 w:rsidRPr="00E47E25">
              <w:rPr>
                <w:b/>
                <w:bCs/>
              </w:rPr>
              <w:t xml:space="preserve"> RAZEM (za wszystkie trzy okresy polisowe)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645C9" w:rsidRDefault="00D645C9" w:rsidP="00D645C9">
      <w:pPr>
        <w:pStyle w:val="Akapitzlist"/>
        <w:numPr>
          <w:ilvl w:val="0"/>
          <w:numId w:val="4"/>
        </w:numPr>
        <w:spacing w:before="240" w:after="240"/>
      </w:pPr>
      <w:r>
        <w:t>Sumy gwarancyjne, sumy ubezpieczenia, limity, udziały własne i franszyzy zgodnie z SIWZ</w:t>
      </w:r>
    </w:p>
    <w:p w:rsidR="00780E0A" w:rsidRDefault="00780E0A" w:rsidP="00780E0A">
      <w:pPr>
        <w:pStyle w:val="Akapitzlist"/>
        <w:spacing w:before="240" w:after="240"/>
        <w:ind w:left="700"/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  <w:r>
        <w:rPr>
          <w:b/>
          <w:bCs/>
        </w:rPr>
        <w:t xml:space="preserve">SZCZEGÓŁOWY PODZIAŁ SKŁADKI NA POSZCZEGÓLNE RCKIK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55"/>
        <w:gridCol w:w="2137"/>
        <w:gridCol w:w="1985"/>
        <w:gridCol w:w="1986"/>
      </w:tblGrid>
      <w:tr w:rsidR="00E24599" w:rsidRPr="000F37C7" w:rsidTr="00960535">
        <w:trPr>
          <w:trHeight w:val="6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Nazwa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Składka za wszystkie </w:t>
            </w:r>
            <w:r>
              <w:rPr>
                <w:b/>
                <w:bCs/>
                <w:color w:val="000000"/>
              </w:rPr>
              <w:lastRenderedPageBreak/>
              <w:t>ubezpieczenia wymienione w tabeli w pierwszym okresie polisowania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Składka za wszystkie </w:t>
            </w:r>
            <w:r>
              <w:rPr>
                <w:b/>
                <w:bCs/>
                <w:color w:val="000000"/>
              </w:rPr>
              <w:lastRenderedPageBreak/>
              <w:t>ubezpieczenia wymienione w tabeli w drugim okresie polisowania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Składka za wszystkie </w:t>
            </w:r>
            <w:r>
              <w:rPr>
                <w:b/>
                <w:bCs/>
                <w:color w:val="000000"/>
              </w:rPr>
              <w:lastRenderedPageBreak/>
              <w:t>ubezpieczenia wymienione w tabeli w trzecim okresie polisowania</w:t>
            </w:r>
          </w:p>
        </w:tc>
      </w:tr>
      <w:tr w:rsidR="00E24599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24599" w:rsidRPr="00E24599" w:rsidRDefault="00E24599" w:rsidP="00960535">
            <w:pPr>
              <w:jc w:val="center"/>
              <w:rPr>
                <w:b/>
                <w:bCs/>
                <w:color w:val="000000"/>
              </w:rPr>
            </w:pPr>
            <w:r w:rsidRPr="00E24599">
              <w:rPr>
                <w:b/>
                <w:bCs/>
              </w:rPr>
              <w:lastRenderedPageBreak/>
              <w:t>Obowiązkowe ubezpieczenie odpowiedzialności cywilnej posiadaczy pojazdów mechanicznych</w:t>
            </w: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 xml:space="preserve">Regionalne Centrum Krwiodawstwa i </w:t>
            </w:r>
            <w:r w:rsidRPr="000F37C7">
              <w:lastRenderedPageBreak/>
              <w:t>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pPr>
              <w:jc w:val="right"/>
            </w:pPr>
          </w:p>
          <w:p w:rsidR="00E24599" w:rsidRPr="00320EA1" w:rsidRDefault="00E24599" w:rsidP="00960535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20EA1" w:rsidRPr="00E24599" w:rsidRDefault="00320EA1" w:rsidP="00320EA1">
            <w:pPr>
              <w:jc w:val="center"/>
              <w:rPr>
                <w:b/>
                <w:bCs/>
              </w:rPr>
            </w:pPr>
            <w:r w:rsidRPr="00E24599">
              <w:rPr>
                <w:b/>
                <w:bCs/>
              </w:rPr>
              <w:t>Ubezpieczenie Autocasco</w:t>
            </w: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lastRenderedPageBreak/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</w:t>
            </w:r>
            <w:r w:rsidRPr="000F37C7">
              <w:lastRenderedPageBreak/>
              <w:t>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0B782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320EA1">
            <w:pPr>
              <w:jc w:val="right"/>
            </w:pPr>
            <w:r>
              <w:t xml:space="preserve">20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320EA1">
            <w:r w:rsidRPr="00320EA1">
              <w:t xml:space="preserve">Regionalne Centrum Krwiodawstwa i 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320EA1">
            <w:pPr>
              <w:jc w:val="right"/>
            </w:pPr>
          </w:p>
        </w:tc>
      </w:tr>
      <w:tr w:rsidR="00320EA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20EA1" w:rsidRPr="00C96105" w:rsidRDefault="00320EA1" w:rsidP="00320EA1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następstw nieszczęśliwych wypadków</w:t>
            </w: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lastRenderedPageBreak/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center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0F37C7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320EA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  <w:r>
              <w:t xml:space="preserve">20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r w:rsidRPr="00320EA1">
              <w:t xml:space="preserve">Regionalne Centrum Krwiodawstwa i </w:t>
            </w:r>
            <w:r w:rsidRPr="00320EA1">
              <w:lastRenderedPageBreak/>
              <w:t xml:space="preserve">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</w:p>
        </w:tc>
      </w:tr>
      <w:tr w:rsidR="000B7821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B7821" w:rsidRPr="00E24599" w:rsidRDefault="000B7821" w:rsidP="000B7821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24599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asistance</w:t>
            </w: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lastRenderedPageBreak/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center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0F37C7" w:rsidRDefault="000B7821" w:rsidP="000B7821">
            <w:pPr>
              <w:jc w:val="right"/>
            </w:pPr>
          </w:p>
        </w:tc>
      </w:tr>
      <w:tr w:rsidR="000B782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</w:p>
          <w:p w:rsidR="000B7821" w:rsidRPr="00320EA1" w:rsidRDefault="000B7821" w:rsidP="000B7821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</w:p>
        </w:tc>
      </w:tr>
      <w:tr w:rsidR="000B7821" w:rsidRPr="00320EA1" w:rsidTr="00320EA1">
        <w:trPr>
          <w:trHeight w:val="1051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</w:p>
          <w:p w:rsidR="000B7821" w:rsidRPr="00320EA1" w:rsidRDefault="000B7821" w:rsidP="000B7821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</w:p>
        </w:tc>
      </w:tr>
      <w:tr w:rsidR="000B7821" w:rsidRPr="00320EA1" w:rsidTr="00320EA1">
        <w:trPr>
          <w:trHeight w:val="1051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  <w:r>
              <w:t xml:space="preserve">20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r w:rsidRPr="00320EA1">
              <w:t xml:space="preserve">Regionalne Centrum Krwiodawstwa i 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21" w:rsidRPr="00320EA1" w:rsidRDefault="000B7821" w:rsidP="000B7821">
            <w:pPr>
              <w:jc w:val="right"/>
            </w:pPr>
          </w:p>
        </w:tc>
      </w:tr>
    </w:tbl>
    <w:p w:rsidR="00D645C9" w:rsidRDefault="00D645C9" w:rsidP="00780E0A">
      <w:pPr>
        <w:keepNext/>
        <w:tabs>
          <w:tab w:val="left" w:pos="0"/>
        </w:tabs>
        <w:spacing w:before="360" w:after="240"/>
        <w:rPr>
          <w:b/>
          <w:bCs/>
        </w:rPr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D645C9">
        <w:rPr>
          <w:b/>
          <w:bCs/>
        </w:rPr>
        <w:t>KLAUZULE ROZSZERZAJĄCE ZAKRES OCHRONY UBEZPIECZENIOWEJ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6"/>
        <w:gridCol w:w="1936"/>
        <w:gridCol w:w="4210"/>
      </w:tblGrid>
      <w:tr w:rsidR="00E47E25" w:rsidRPr="00E47E25" w:rsidTr="00E47E25">
        <w:trPr>
          <w:cantSplit/>
          <w:trHeight w:val="500"/>
          <w:tblHeader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rzeczoznawców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obiegu dokumentów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lastRenderedPageBreak/>
              <w:t>Klauzula akceptacji aktualnego stanu zabezpieczeń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zachowania ochrony ubezpieczeniowej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ważności badań technicznych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</w:pPr>
            <w:r w:rsidRPr="00E47E25">
              <w:t xml:space="preserve">Klauzula trwałych następstw zawału serca </w:t>
            </w:r>
            <w:r w:rsidRPr="00E47E25">
              <w:br/>
              <w:t>i udaru mózgu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współdziałania przy zbyciu pojazdu po szkodzie całkowitej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likwidatora szkód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10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złamania przepisów ruchu drogowego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ładunkowa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kluczy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likwidacji szkód częściowych w wariancie serwisowym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</w:tbl>
    <w:p w:rsidR="00E47E25" w:rsidRPr="00D645C9" w:rsidRDefault="00E47E25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</w:p>
    <w:p w:rsidR="00D645C9" w:rsidRPr="00E47E25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E47E25"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D645C9" w:rsidRPr="00E47E25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E47E25">
        <w:t>Wykonawca oświadcza, że jest związany niniejszą ofertą przez okres 60 dni od upływu terminu składania ofert.</w:t>
      </w:r>
    </w:p>
    <w:p w:rsidR="00E47E25" w:rsidRPr="00E47E25" w:rsidRDefault="00E47E25" w:rsidP="00E47E25">
      <w:pPr>
        <w:tabs>
          <w:tab w:val="left" w:pos="284"/>
          <w:tab w:val="left" w:pos="567"/>
        </w:tabs>
        <w:spacing w:before="240" w:after="120"/>
        <w:rPr>
          <w:b/>
          <w:bCs/>
        </w:rPr>
      </w:pPr>
      <w:r w:rsidRPr="00E47E25">
        <w:rPr>
          <w:b/>
          <w:bCs/>
        </w:rPr>
        <w:t>8.Wykonawca oświadcza, że w przypadku wyboru jego oferty w ciągu 7 dni od ogłoszenia wyników postępowania przedłoży szczegółowe rozbicie składek za wszystkie ubezpieczenia na poszczególne pojazdy.</w:t>
      </w:r>
    </w:p>
    <w:p w:rsidR="00D645C9" w:rsidRPr="00E47E25" w:rsidRDefault="00E47E25" w:rsidP="00E47E25">
      <w:pPr>
        <w:tabs>
          <w:tab w:val="left" w:pos="284"/>
          <w:tab w:val="left" w:pos="567"/>
        </w:tabs>
        <w:spacing w:before="240" w:after="120"/>
      </w:pPr>
      <w:r w:rsidRPr="00E47E25">
        <w:t>9.</w:t>
      </w:r>
      <w:r w:rsidR="00D645C9" w:rsidRPr="00E47E25">
        <w:t>Wykonawcza oświadcza, że do oferty mają zastosowanie następujące Ogólne Warunki Ubezpieczenia: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Autocasco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lastRenderedPageBreak/>
        <w:t>Ubezpieczenie następstw nieszczęśliwych wypadków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Assistance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D645C9" w:rsidRPr="00E47E25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D645C9" w:rsidRPr="00E47E25" w:rsidRDefault="00E47E25" w:rsidP="00D645C9">
      <w:pPr>
        <w:suppressAutoHyphens/>
        <w:rPr>
          <w:b/>
          <w:bCs/>
          <w:i/>
          <w:iCs/>
        </w:rPr>
      </w:pPr>
      <w:r w:rsidRPr="00E47E25">
        <w:t>10</w:t>
      </w:r>
      <w:r w:rsidR="00D645C9" w:rsidRPr="00E47E25">
        <w:t>.Następujące części zamówienia zostaną powierzone podwykonawcom:</w:t>
      </w:r>
    </w:p>
    <w:p w:rsidR="00D645C9" w:rsidRPr="00E47E25" w:rsidRDefault="00D645C9" w:rsidP="00D645C9">
      <w:pPr>
        <w:rPr>
          <w:b/>
          <w:bCs/>
          <w:i/>
          <w:iCs/>
        </w:rPr>
      </w:pPr>
    </w:p>
    <w:p w:rsidR="00D645C9" w:rsidRPr="00E47E25" w:rsidRDefault="00D645C9" w:rsidP="00D645C9">
      <w:pPr>
        <w:ind w:left="400"/>
        <w:rPr>
          <w:b/>
          <w:bCs/>
        </w:rPr>
      </w:pPr>
      <w:r w:rsidRPr="00E47E25"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Nazwa firmy</w:t>
            </w:r>
          </w:p>
        </w:tc>
      </w:tr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/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/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645C9" w:rsidRPr="00E47E25" w:rsidRDefault="00D645C9" w:rsidP="00D645C9">
      <w:pPr>
        <w:pStyle w:val="Akapitzlist"/>
        <w:spacing w:before="240" w:after="120"/>
        <w:ind w:left="567"/>
      </w:pPr>
    </w:p>
    <w:p w:rsidR="00D645C9" w:rsidRPr="00E47E25" w:rsidRDefault="00D645C9" w:rsidP="00D645C9">
      <w:pPr>
        <w:pStyle w:val="NormalnyWeb"/>
        <w:spacing w:line="360" w:lineRule="auto"/>
      </w:pPr>
      <w:r w:rsidRPr="00E47E25">
        <w:t>10.Oświadczam*,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</w:p>
    <w:p w:rsidR="00D645C9" w:rsidRPr="00E47E25" w:rsidRDefault="00F72AA0" w:rsidP="00D645C9">
      <w:r>
        <w:t>11</w:t>
      </w:r>
      <w:r w:rsidRPr="00F72AA0">
        <w:t>.NRKRS**...............................................................................................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E47E25" w:rsidRPr="00E47E25" w:rsidTr="00B419EC"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E47E25" w:rsidRPr="00E47E25" w:rsidTr="00B419EC"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Podpis i pieczęć Wykonawcy</w:t>
            </w:r>
          </w:p>
        </w:tc>
      </w:tr>
    </w:tbl>
    <w:p w:rsidR="00D645C9" w:rsidRPr="00E47E25" w:rsidRDefault="00D645C9" w:rsidP="00D645C9">
      <w:pPr>
        <w:pStyle w:val="Tekstpodstawowy"/>
        <w:suppressAutoHyphens/>
      </w:pPr>
    </w:p>
    <w:p w:rsidR="00D645C9" w:rsidRDefault="00D645C9" w:rsidP="00D645C9">
      <w:pPr>
        <w:rPr>
          <w:sz w:val="20"/>
          <w:szCs w:val="20"/>
        </w:rPr>
      </w:pPr>
      <w:r w:rsidRPr="00E47E25">
        <w:rPr>
          <w:sz w:val="20"/>
          <w:szCs w:val="20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3C2E" w:rsidRDefault="00423C2E" w:rsidP="00423C2E">
      <w:pPr>
        <w:rPr>
          <w:sz w:val="20"/>
          <w:szCs w:val="20"/>
        </w:rPr>
      </w:pPr>
      <w:r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423C2E" w:rsidRPr="00E47E25" w:rsidRDefault="00423C2E" w:rsidP="00D645C9"/>
    <w:sectPr w:rsidR="00423C2E" w:rsidRPr="00E4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C02C9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A00524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9"/>
    <w:rsid w:val="000B7821"/>
    <w:rsid w:val="00320EA1"/>
    <w:rsid w:val="003471D4"/>
    <w:rsid w:val="003779FB"/>
    <w:rsid w:val="00423C2E"/>
    <w:rsid w:val="00780E0A"/>
    <w:rsid w:val="00B43DCC"/>
    <w:rsid w:val="00D645C9"/>
    <w:rsid w:val="00E24599"/>
    <w:rsid w:val="00E47E25"/>
    <w:rsid w:val="00F504A2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60114-FAF5-44CE-9C78-7A965668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4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645C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5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C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645C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645C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645C9"/>
    <w:pPr>
      <w:suppressAutoHyphens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D6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18</cp:revision>
  <dcterms:created xsi:type="dcterms:W3CDTF">2019-09-16T12:09:00Z</dcterms:created>
  <dcterms:modified xsi:type="dcterms:W3CDTF">2019-10-22T07:54:00Z</dcterms:modified>
</cp:coreProperties>
</file>